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14</w:t>
      </w:r>
    </w:p>
    <w:p>
      <w:r>
        <w:t>Bundesgericht (BGE), 2022-09-09, DE</w:t>
      </w:r>
    </w:p>
    <w:p>
      <w:r>
        <w:rPr>
          <w:b/>
        </w:rPr>
        <w:t xml:space="preserve">Quelle: </w:t>
      </w:r>
      <w:r>
        <w:t>https://mcp.opencaselaw.ch/entscheid/bge_149 I 14</w:t>
      </w:r>
    </w:p>
    <w:p>
      <w:r>
        <w:t>FR: ATF 149 I 14</w:t>
      </w:r>
    </w:p>
    <w:p>
      <w:r>
        <w:t>IT: DTF 149 I 14</w:t>
      </w:r>
    </w:p>
    <w:p>
      <w:pPr>
        <w:pStyle w:val="Heading2"/>
      </w:pPr>
      <w:r>
        <w:t>Regeste</w:t>
      </w:r>
    </w:p>
    <w:p>
      <w:r>
        <w:t>Regeste Art. 30 Abs. 1 BV; Art. 6 Ziff. 1 EMRK; Anspruch auf ein unabhängiges Gericht; Gefährdung der internen gerichtlichen Unabhängigkeit durch informelle Hierarchien. Ein aktuelles praktisches Interesse an der Behandlung der Haftbeschwerde liegt auch dann vor, wenn während des laufenden Beschwerdeverfahrens ein Haftentlassungsgesuch gestellt wird (E. 1). Der Schutzbereich der Art. 30 Abs. 1 BV und Art. 6 Ziff. 1 EMRK umfasst nicht bloss die gegen äussere Beeinflussung gerichtete richterliche Unabhängigkeit, sondern auch die interne Unabhängigkeit der Gerichtspersonen, namentlich die Autonomie der einzelnen Gerichtsmitglieder im Kollegialgericht. Letztere kann nicht nur durch formelle Hierarchien, sondern auch durch informelle Hierarchien innerhalb des Spruchkörpers gefährdet sein. Die vorliegend zu beurteilende Einsetzung einer Gerichtsschreiberin und eines Gerichtsschreibers der entscheidenden Kammer als Richterin und Richter in eben dieser Kammer ist nicht mit dem Anspruch auf ein unabhängiges Gericht zu vereinbaren (E. 5).</w:t>
      </w:r>
    </w:p>
    <w:p>
      <w:pPr>
        <w:pStyle w:val="Heading2"/>
      </w:pPr>
      <w:r>
        <w:t>Erwägungen</w:t>
      </w:r>
    </w:p>
    <w:p>
      <w:r>
        <w:rPr>
          <w:b/>
        </w:rPr>
        <w:t>E. 1.1</w:t>
      </w:r>
    </w:p>
    <w:p>
      <w:r>
        <w:t>Der angefochtene kantonal letztinstanzliche Entscheid betrifft die Anordnung von Untersuchungshaft ( Art. 220 Abs. 1 StPO ). BGE 149 I 14 S. 16 Dagegen steht die Beschwerde in Strafsachen nach Art. 78 ff. BGG offen. Der Beschwerdeführer hat am vorinstanzlichen Verfahren teilgenommen und befindet sich, soweit aus den Akten ersichtlich, nach wie vor in Haft. Er ist deshalb grundsätzlich nach Art. 81 Abs. 1 BGG zur Beschwerde berechtigt.</w:t>
      </w:r>
    </w:p>
    <w:p>
      <w:r>
        <w:rPr>
          <w:b/>
        </w:rPr>
        <w:t>E. 1.2</w:t>
      </w:r>
    </w:p>
    <w:p>
      <w:r>
        <w:t>Die Staatsanwaltschaft bringt indessen in ihrer Vernehmlassung vor, der Beschwerdeführer habe zwischenzeitlich (und somit während des laufenden Beschwerdeverfahrens) bei ihr ein Haftentlassungsgesuch gestellt. Das Beschwerdeverfahren vor Bundesgericht sei deshalb als gegenstandslos abzuschreiben. Die Staatsanwaltschaft stützt sich diesbezüglich auf die Lehrmeinung von GFELLER/BIGLER/ BONIN, wonach ein Haftentlassungsgesuch auch während eines laufenden Haft-Beschwerdeverfahrens gestellt werden könne, letzteres aber gegenstandslos mache. Damit soll verhindert werden, dass in der Sache zwei sich widersprechende Entscheide ergingen (GFELLER/ BIGLER/BONIN, Untersuchungshaft, Ein Leitfaden für die Praxis, 2017, S. 309 Rz. 824). Dem kann nicht gefolgt werden. Nach ständiger Rechtsprechung führt ein während des laufenden Haft-Beschwerdeverfahrens ergangener Entscheid über die Verlängerung der Untersuchungshaft nicht dazu, dass das aktuelle praktische Interesse an der Behandlung der Haftbeschwerde dahinfallen würde ( BGE 139 I 206 E. 1.2; zuletzt Urteil 1B_78/2022 vom 2. März 2022 E. 2.4 mit Hinweisen). Es rechtfertigt sich nicht, die Situation anders zu behandeln, wenn der neue Haftentscheid nicht auf die Initiative der Staatsanwaltschaft (Gesuch um Haftverlängerung), sondern der beschuldigten Person (Gesuch um Haftentlassung) zurückzuführen ist, zumal die Problematik sich widersprechender Entscheide in beiden Situationen identisch ist. Eine Abschreibung des Beschwerdeverfahrens zufolge Gegenstandslosigkeit fällt mit Blick auf die nach wie vor andauernde Haft des Beschwerdeführers somit ausser Betracht.</w:t>
      </w:r>
    </w:p>
    <w:p>
      <w:r>
        <w:rPr>
          <w:b/>
        </w:rPr>
        <w:t>E. 1.3</w:t>
      </w:r>
    </w:p>
    <w:p>
      <w:r>
        <w:t>Die weiteren Sachurteilsvoraussetzungen geben zu keinen Bemerkungen Anlass, weshalb auf die Beschwerde einzutreten ist. (...)</w:t>
      </w:r>
    </w:p>
    <w:p>
      <w:r>
        <w:rPr>
          <w:b/>
        </w:rPr>
        <w:t>E. 5</w:t>
      </w:r>
    </w:p>
    <w:p>
      <w:r>
        <w:t>Der Beschwerdeführer rügt in formeller Hinsicht sodann eine unzulässige Besetzung der Vorinstanz und damit eine Verletzung von Art. 30 Abs. 1 BV und Art. 5 Ziff. 1 lit. c, Ziff. 3 und 4 i.V.m. Art. 6 Ziff. 1 EMRK . BGE 149 I 14 S. 17</w:t>
      </w:r>
    </w:p>
    <w:p>
      <w:r>
        <w:rPr>
          <w:b/>
        </w:rPr>
        <w:t>E. 5.1</w:t>
      </w:r>
    </w:p>
    <w:p>
      <w:r>
        <w:t>Der Beschwerdeführer beanstandet insbesondere, dass die Vorinstanz den Entscheid nicht mit der ursprünglich festgesetzten und ihm mitgeteilten Spruchkörperbesetzung gefällt, sondern namentlich "aufgrund Abwesenheit einer Richterin und eines Richters" die ursprüngliche Besetzung nachträglich geändert habe. So hätten statt der (ordentlichen) Oberrichterin Andrea Meier und dem (ordentlichen) Oberrichter David Oehninger die (nebenamtliche) Ersatzoberrichterin Charlotte Schoder sowie der (nebenamtliche) Ersatzoberrichter Titus Graf im Spruchkörper Einsitz genommen. Diese nachträgliche Abänderung des Spruchkörpers bzw. seine Besetzung überhaupt seien ohne hinreichende gesetzliche Grundlage, und ohne dass sachliche Gründe hierfür erblickt werden könnten, erfolgt. Sodann sei die streitige Abänderung der Spruchkörperbesetzung bereits deshalb unzulässig, weil Ersatzoberrichterin Charlotte Schoder und Ersatzoberrichter Titus Graf in ihren Haupttätigkeiten als Gerichtsschreiberin und Gerichtsschreiber in der III. Strafkammer des Obergerichts amteten. Sie seien damit dem Präsidenten der Kammer, Oberrichter Andreas Flury, der als drittes Mitglied am angefochtenen Entscheid mitgewirkt habe, (faktisch) direkt unterstellt und ihm gegenüber weisungsgebunden, was mit dem Anspruch auf ein unparteiisches, unvoreingenommenes und unbefangenes Gericht nicht kompatibel sei.</w:t>
      </w:r>
    </w:p>
    <w:p>
      <w:r>
        <w:rPr>
          <w:b/>
        </w:rPr>
        <w:t>E. 5.2</w:t>
      </w:r>
    </w:p>
    <w:p>
      <w:r>
        <w:t>Die Vorinstanz hat in ihrer Vernehmlassung insbesondere darauf hingewiesen, dass im Kanton Zürich Ersatzoberrichterinnen und Ersatzoberrichter auf demselben demokratischen Weg wie die ordentlichen Oberrichterinnen und Oberrichter gewählt würden und somit gleichermassen demokratisch legitimiert seien. Bei der Ersatzoberrichterin Charlotte Schoder und dem Ersatzoberrichter Titus Graf handle es sich zudem um äusserst erfahrene Juristen, die auf eine langjährige Tätigkeit in der Justiz zurückblicken könnten und sich entsprechend in ihrer Richtertätigkeit absolut frei fühlen würden und bei der Entscheidfindung unbeeinflusst und unabhängig einbringen könnten. Zu beachten sei sodann, dass den Gerichtsschreiberinnen und Gerichtsschreibern beratende Stimme und das Recht auf Mindermeinung zukommen würde und sie deshalb trotz formellem Subordinationsverhältnis unabhängig und frei im Rahmen der Rechtsprechung mitwirken würden. Schliesslich seien die Gerichtsschreiberinnen und Gerichtsschreiber der Leitenden Gerichtsschreiberin und nicht dem Präsidenten der Beschwerdekammer unterstellt.</w:t>
      </w:r>
    </w:p>
    <w:p>
      <w:r>
        <w:rPr>
          <w:b/>
        </w:rPr>
        <w:t>E. 5.3</w:t>
      </w:r>
    </w:p>
    <w:p>
      <w:r>
        <w:t>Ob die Einsetzung einer Gerichtsschreiberin oder eines Gerichtsschreibers der entscheidenden Kammer als Ersatzrichterin oder BGE 149 I 14 S. 18 Ersatzrichter (in ebendieser Kammer) eine Verletzung von Art. 30 Abs. 1 BV und Art. 6 Ziff. 1 EMRK darstellt, wurde vom Bundesgericht bisher ausdrücklich offengelassen (Urteil 6B_434/2020 vom 14. September 2021 E. 2.3). Diese Frage ist vorliegend vorab zu prüfen:</w:t>
      </w:r>
    </w:p>
    <w:p>
      <w:r>
        <w:rPr>
          <w:b/>
        </w:rPr>
        <w:t>E. 5.3.1</w:t>
      </w:r>
    </w:p>
    <w:p>
      <w:r>
        <w:t>Zunächst ist festzuhalten und zu betonen, dass weder die fachliche Kompetenz noch die persönliche Integrität der Ersatzoberrichterin Charlotte Schoder und des Ersatzoberrichters Titus Graf vom Beschwerdeführer bestritten werden oder es Gründe gäbe, diese in Frage zu stellen. Streitig ist nicht, ob die genannten Gerichtspersonen persönlich und individuell geeignet sind, ihr Amt auszuüben, sondern ob ihr Einsatz als (nebenamtliche) Ersatzrichterin und Ersatzrichter in jener Kammer, in welcher sie zugleich (hauptamtlich) als Gerichtsschreiberin und Gerichtsschreiber tätig sind, in grundsätzlicher Hinsicht mit Art. 30 Abs. 1 BV und Art. 6 Ziff. 1 EMRK zu vereinbaren ist. Die Ausführungen der Vorinstanz zur fachlichen Kompetenz der beanstandeten Mitglieder ihres Spruchkörpers zielen somit an der Sache vorbei.</w:t>
      </w:r>
    </w:p>
    <w:p>
      <w:r>
        <w:rPr>
          <w:b/>
        </w:rPr>
        <w:t>E. 5.3.2</w:t>
      </w:r>
    </w:p>
    <w:p>
      <w:r>
        <w:t>Die richterliche Unabhängigkeit ist sowohl als grundrechtlicher Anspruch ( Art. 30 Abs. 1 BV ) als auch als institutionelle Garantie der richterlichen Behörden ( Art. 191c BV ) in der Bundesverfassung verankert. Nach Art. 30 Abs. 1 BV und Art. 6 Ziff. 1 EMRK hat jede Person, deren Sache in einem gerichtlichen Verfahren beurteilt werden muss, Anspruch auf ein durch Gesetz geschaffenes, zuständiges, unabhängiges und unparteiisches Gericht.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 BGE 147 III 89 E. 4.1; BGE 144 I 159 E. 4.3; BGE 142 III 732 E. 4.2.2; BGE 140 III 221 E. 4.1). Dabei kann die Garantie des unabhängigen und unbefangenen Gerichts insbesondere durch organisatorische Gegebenheiten tangiert sein ( BGE 147 III 577 E. 6; BGE 147 I 173 E. 5.1). Ob dies der Fall ist, prüft das Bundesgericht frei ( BGE 147 I 173 E. 5.1). Richterliche Unabhängigkeit bedeutet zunächst einmal die Unabhängigkeit vor externer Einflussnahme, namentlich durch die anderen Staatsgewalten oder die Parteien (vgl. BGE 123 II 511 E. 5c). Eine Verletzung von Art. 30 Abs. 1 BV und Art. 6 Ziff. 1 EMRK BGE 149 I 14 S. 19 liegt dabei nicht erst dann vor, wenn die richterliche Unabhängigkeit im konkreten Fall tatsächlich beeinträchtigt ist, sondern bereits dann, wenn ein entsprechender Anschein besteht ( BGE 147 I 173 E. 5.1; BGE 147 III 89 E. 4.1; BGE 139 III 98 E. 4.2; BGE 137 I 227 E. 2.1; siehe auch Urteil 2C_334/2015 vom 19. Mai 2015 E. 3 und 4). Es gilt nicht bloss tatsächliche Loyalitätskonflikte zu verhindern, sondern auch das notwendige Vertrauen der Rechtssuchenden in die richterliche Unabhängigkeit der Gerichte zu erhalten ( BGE 124 I 255 E. 5d; BGE 119 Ia 91 E. 3; siehe dazu auch KURT EICHENBERGER, Die richterliche Unabhängigkeit als staatsrechtliches Problem, 1960, S. 89 f.; REGINA KIENER, Richterliche Unabhängigkeit, 2001, S. 233), weshalb auch das äussere Erscheinungsbild eines Gerichts den Eindruck der Unabhängigkeit zu vermitteln hat (vgl. BGE 139 III 98 E. 4.2 und 4.4). Diese Grundsätze schlagen sich auch in der Rechtsprechung des Europäischen Gerichtshofs für Menschenrechte (EGMR) nieder. Dieser hat wiederholt eine Verletzung der richterlichen Unabhängigkeit festgestellt, obwohl die jeweiligen Gerichtspersonen in ihrer rechtsprechenden Funktion nicht (direkt) weisungsgebunden waren oder ihnen eine solche Weisungsfreiheit sogar gesetzlich zugesichert wurde, und ohne dass Anzeichen für eine konkrete externe Einflussnahme vorgelegen hätten. Ausschlaggebend war, dass die betroffenen Gerichtspersonen in jeweils anderer Funktion gegenüber der (am Verfahren beteiligten) Verwaltung (Urteil des EGMR Sramek gegen Österreich vom 22. Oktober 1984, Nr. 8790/79, § 41 f.) oder gegenüber den Strafbehörden (Urteil des EGMR Belilos gegen Schweiz vom 29. April 1988, Nr. 10328/83, § 63 ff.) in einem Weisungsverhältnis standen, womit zumindest der Anschein bestand, dass es an der erforderlichen Unabhängigkeit gemäss Art. 6 Ziff. 1 EMRK mangle.</w:t>
      </w:r>
    </w:p>
    <w:p>
      <w:r>
        <w:rPr>
          <w:b/>
        </w:rPr>
        <w:t>E. 5.3.3</w:t>
      </w:r>
    </w:p>
    <w:p>
      <w:r>
        <w:t>Vorliegend ist nicht die Unabhängigkeit des Gerichts gegenüber aussen, sondern jene einzelner Gerichtsmitglieder innerhalb des zuständigen Spruchkörpers eines Kollegialgerichts streitig. Die vorgenannten Grundsätze und Präjudizien können jedoch analog auf diese Situation übertragen werden. In der Literatur wird einhellig darauf hingewiesen, dass neben der gegen äussere Beeinflussung gerichteten Unabhängigkeit auch der internen Unabhängigkeit der Gerichtsperson (sog. richterliche Eigenständigkeit; vgl. EICHENBERGER, a.a.O., S. 48), wozu namentlich die Autonomie im Kollegialgericht gehört BGE 149 I 14 S. 20 (vgl. dazu BGE 139 I 121 E. 5.3; BGE 133 I 1 E. 6.6.3; BGE 131 I 31 E. 2.1.2.2, wonach die Mitglieder eines Kollegialgerichts in ihrer Stellung voneinander unabhängig sind), eine massgebliche Bedeutung zukommt (REITER/STADELMANN, Informelle Hierarchien in der Justiz, Justice - Justiz - Giustizia 2021/3, Rz. 2; CATHERINE REITER, Gerichtsinterne Organisation: Best Practices, 2015, S. 66 Rz. 128 ff.; ETIENNE POLTIER, L'organisation et le fonctionnement interne de l'ordre judiciaire et des tribunaux, AJP 2011 S. 1024; HAUSER/SCHWERI/LIEBER, GOG, Kommentar zum zürcherischen Gesetz über die Gerichts- und Behördenorganisation im Zivil- und Strafprozess vom 10. Mai 2010, 2. Aufl. 2017, N. 20 der Einleitung; HANS PETER WALTER, Interne richterliche Unabhängigkeit, Justice - Justiz - Giustizia 2005/1, Rz. 2). Denn mögliche Beeinflussungen des Gerichts würden nicht nur von aussen, sondern auch von innen, insbesondere bei der Entscheidfindung innerhalb eines Kollegiums, drohen (MARIANNE RYTER, Gerichtsverwaltung und richterliche Unabhängigkeit: Überlegungen am Beispiel des Bundesverwaltungsgerichts, in: Verwaltungsorganisationsrecht - Staatshaftungsrecht - öffentliches Dienstrecht, Jahrbuch 2007, 2008, S. 59 ff.; siehe auch REITER, a.a.O., S. 132 Rz. 254 f.; ANNA RÜEFLI, Fachrichterbeteiligung im Lichte der Justiz- und Verfahrensgarantien, 2018, S. 325 Rz. 576 ff.; WALTER, a.a.O., Rz. 20 und 33; KIENER, a.a.O., S. 219 ff.; EICHENBERGER, a.a.O., S. 240). Kerngehalt der richterlichen Unabhängigkeit ist die Weisungsfreiheit der Gerichtsmitglieder, was mit Blick auf die interne Unabhängigkeit bedeutet, dass formelle Hierarchien innerhalb eines Gerichts unzulässig sind (REITER/ STADELMANN, a.a.O., Rz. 11). Eine "freie und damit gerechte Entscheidung" bedingt deshalb nach RYTER, dass sich die Richterinnen und Richter eines Spruchkörpers "stets als Gleichgestellte" begegnen können. Demgegenüber würden allfällige Abhängigkeiten unweigerlich das Gleichgewicht der urteilenden Kräfte zu stören drohen und damit die freie Meinungsäusserung behindern. Eine Störung dieses Gleichgewichts sei namentlich dann möglich, wenn Mitglieder des Spruchkörpers zugleich gerichtliche Leitungsfunktionen inne hätten. Es sei deshalb zentral, dass Richterinnen und Richter mit Leitungsfunktionen mit den weiteren Gerichtsmitgliedern auf Augenhöhe bleiben würden, mithin alle Gerichtsmitglieder absolut gleichberechtigt und gleichgestellt seien (RYTER, a.a.O., S. 61 f. und 72; vgl. zum Ganzen: WALTER, a.a.O., Rz. 16; KIENER, a.a.O., S. 219 ff.). Problematisch sind indessen nicht nur formelle Hierarchien innerhalb eines Gerichts. Auch Einflüsse, welche sich aus sogenannt informellen BGE 149 I 14 S. 21 Hierarchien ergeben können, sind geeignet, die interne richterliche Unabhängigkeit zu gefährden. Namentlich REITER/STADELMANN warnen deshalb eindringlich davor, das von "informellen Hierarchien ausgehende Gefahrenpotential für die richterliche Unabhängigkeit" zu unterschätzen. Diese könnten "zu Konformismus und damit Gruppendruck auf (potentielle) Abweichler, im schlimmsten Fall gar zu Isolation führen" (REITER/STADELMANN, a.a.O., Rz. 14 ff.). Diese würden sich teilweise aus persönlichen Unterschieden zwischen den Richterinnen und Richtern ergeben, was unvermeidbar sei (vgl. dazu auch WALTER, a.a.O., Rz. 20). Soweit derartige informelle Hierarchien jedoch durch (vermeidbare) organisatorische Faktoren der Gerichtsorganisation gefördert würden (namentlich die Übertragung besonderer Aufgaben und Kompetenzen; vgl. dazu RYTER, a.a.O., S. 61 f.), sei mit entsprechenden organisationsrechtlichen Massnahmen Abhilfe zu schaffen (REITER/STADELMANN, a.a.O., Rz. 15 f.; vgl. zum Ganzen: REITER, a.a.O., S. 82 Rz. 162 ff.).</w:t>
      </w:r>
    </w:p>
    <w:p>
      <w:r>
        <w:rPr>
          <w:b/>
        </w:rPr>
        <w:t>E. 5.3.4</w:t>
      </w:r>
    </w:p>
    <w:p>
      <w:r>
        <w:t>Im Zusammenhang mit der vorliegend streitigen Praxis des Obergerichts Zürich weisen HAUSER/SCHWERI/LIEBER darauf hin, dass es zumindest "als nicht ganz unbedenklich" erscheine, wenn eine Gerichtsschreiberin als Ersatzrichterin oder ein Gerichtsschreiber als Ersatzrichter gegenüber seinen eigenen Vorgesetzten bzw. seiner Anstellungsbehörde, also in einer strukturellen Hierarchie, unabhängig und unbefangen entscheiden müsse (HAUSER/SCHWERI/LIEBER, a.a.O., N. 5 zu § 11 GOG/ZH). Andere Lehrmeinungen sind, wenn auch nicht unmittelbar auf die vorliegend streitige Praxis des Kantons Zürich bezogen, pointierter. Nach REITER biete der Einsatz von Gerichtsschreiberinnen als Richterinnen bzw. Gerichtsschreibern als Richter zwar im Hinblick auf die zeitliche Effizienz signifikante Vorteile. Dies vermöge jedoch die Gefahren nicht aufzuwiegen, welche sich aufgrund der informellen Hierarchien im kollegialen Spruchkörper ergeben würden. Aus verfassungs- und völkerrechtlicher Perspektive liege es daher nahe, eine solche Doppelfunktion von Gerichtsschreiber- und kollegial rechtsprechender Richtertätigkeit zu verbieten (REITER, a.a.O., S. 170 Rz. 331 ff.; für eine solche Lösung siehe bspw. Art. 43 Abs. 1 Gerichtsorganisationsgesetz des Kantons Graubünden vom 16. Juni 2010 [BR 173.000]). Nach REITER/STADELMANN ist die "Gefahr informeller Hierarchien" schliesslich zumindest dann "nicht mehr als gering" einzuschätzen, wenn ein Gerichtsmitglied auf die Karriere eines anderen Mitglieds Einfluss nehmen könne (REITER/STADELMANN, a.a.O., RZ. 16 Fn. 32); BGE 149 I 14 S. 22 was im Verhältnis zwischen Richterinnen bzw. Richtern und den ihnen gegenüber weisungsgebundenen Gerichtsschreiberinnen bzw. Gerichtsschreibern regelmässig der Fall sein dürfte (vgl. REITER, a.a.O., S. 293 Rz. 567). Auch das Bundesgericht hatte sich bereits mit einer ähnlichen Fragestellung auseinanderzusetzen, nämlich ob im Lichte von Art. 30 Abs. 1 BV ein an einem Gericht weisungsabhängig arbeitender Gerichtsschreiber am gleichen Gericht als Einzelrichter tätig sein könne (Urteil 2C_334/2015 vom 19. Mai 2015 E. 3.2). Im Hinblick auf den genannten (speziell gelagerten) Einzelfall hatte das Bundesgericht festgehalten, der in Frage stehende Gerichtsschreiber könne bei seiner Einzelrichtertätigkeit nicht als unabhängiger Einzelrichter bezeichnet werden, wenn er im Rahmen seiner übrigen Tätigkeit als Gerichtsschreiber der Weisungsbefugnis der Statthalterin (die ein konnexes Verfahren behandelt hatte) unterstellt sei (zit. Urteil 2C_ 334/2015 E. 4.). Die im zit. Urteil 2C_334/2015 behandelte Problematik wird im hier zu entscheidenden Fall dadurch akzentuiert, dass nicht eine Einzelrichtertätigkeit einer weisungsabhängig arbeitenden Gerichtsschreiberin bzw. Gerichtsschreibers, sondern deren Einsitz in einem Kollegialgericht streitig ist (vgl. E. 5.3.3 hiervor).</w:t>
      </w:r>
    </w:p>
    <w:p>
      <w:r>
        <w:rPr>
          <w:b/>
        </w:rPr>
        <w:t>E. 5.3.5</w:t>
      </w:r>
    </w:p>
    <w:p>
      <w:r>
        <w:t>Der Vorinstanz ist insofern zuzustimmen, dass die eingesetzte Ersatzoberrichterin und der eingesetzte Ersatzoberrichter den ordentlichen Mitgliedern des Obergerichts rechtlich gleichgestellt und somit formell, in Ausübung ihrer Richterfunktion, nicht weisungsgebunden sind. Indessen gesteht die Vorinstanz selbst zu, dass die Ersatzoberrichterin und der Ersatzoberrichter sich in ihrer parallel ausgeübten (hauptamtlichen) Tätigkeit als Gerichtsschreiberin und Gerichtsschreiber dem Oberrichter Andreas Flury gegenüber in einem formellen Subordinationsverhältnis befinden, woran auch der Umstand nichts zu ändern vermag, dass die Gerichtsschreiberinnen und Gerichtsschreiber innerhalb der Gerichtsorganisation (direkt) der Leitenden Gerichtsschreiberin unterstellt sein sollen. Verstärkt wird diese Problematik sodann durch den Umstand, dass gemäss § 30 der Verordnung vom 3. November 2010 über die Organisation des Obergerichts (LS 212.51) der Vorsitzende der Kammer, der ebenfalls Mitglied des Spruchkörpers der Vorinstanz ist, die Besetzung des Gerichts bestimmt, und es somit in seinem pflichtgemässen Ermessen liegt, wann und in welcher Funktion er die zugleich in Gerichtsschreiber- und Richterfunktion tätigen Mitglieder seiner Kammer einsetzt. Ob die Mitglieder des vorinstanzlichen BGE 149 I 14 S. 23 Spruchkörpers unter diesen Voraussetzungen als "absolut gleichberechtigt und gleichgestellt" (vgl. E. 5.3.3) betrachtet werden können, erscheint zumindest fraglich. Mit Blick auf die hiervor dargestellte Rechtsprechung und unter Würdigung der einschlägigen Lehre ist festzuhalten, dass die zeitgleich ausserhalb des Spruchkörpers bestehende (unbestrittene) formelle Hierarchie zwischen den Mitgliedern des vorinstanzlichen Spruchkörpers zumindest den Anschein einer informellen Hierarchie innerhalb des Spruchkörpers schafft, die geeignet ist, die interne richterliche Unabhängigkeit der als Ersatzrichterin bzw. Ersatzrichter eingesetzen Personen zu beeinträchtigen. Dies ist umso gewichtiger, als sich dieser Anschein der fehlenden Unabhängigkeit des Spruchkörpers aus den gewählten organisatorischen Gegebenheiten ergibt (vgl. BGE 147 III 577 E. 6) und demnach auch durch geeignete organisationsrechtliche Massnahmen verhindert werden kann und muss (vgl. REITER/STADELMANN, a.a.O., Rz. 15 f.). Welche konkreten Massnahmen dies sind, ist eine Frage der grundsätzlich den Kantonen obliegenden Gerichtsorganisation (vgl. Art. 14 Abs. 2 StPO ).</w:t>
      </w:r>
    </w:p>
    <w:p>
      <w:r>
        <w:rPr>
          <w:b/>
        </w:rPr>
        <w:t>E. 5.4</w:t>
      </w:r>
    </w:p>
    <w:p>
      <w:r>
        <w:t>Zusammenfassend verletzt die Einsetzung einer Gerichtsschreiberin und eines Gerichtsschreibers der entscheidenden Kammer als Ersatzrichterin und Ersatzrichter (in ebendieser Kammer) den Anspruch des Beschwerdeführers auf ein unabhängiges Gericht gemäss Art. 30 Abs. 1 BV und Art. 6 Ziff. 1 EMRK . Dieser Anspruch ist formeller Natur, womit seine Verletzung ungeachtet der materiellen Begründetheit des Rechtsmittels zur Gutheissung der Beschwerde und zur Aufhebung des angefochtenen Entscheides führt ( BGE 142 I 93 E. 8.3 mit Hinweisen). Ein Urteil in der Sache durch das Bundesgericht ist, trotz der besonderen Bedeutung des Beschleunigungsgebots in Haftsachen ( Art. 31 Abs. 4 BV ; Art. 5 Abs. 2 StPO ; Art. 5 Ziff. 4 EMRK ; vgl. BGE 137 IV 177 E. 2.2), bereits aufgrund der eingeschränkten Kognition des Bundesgerichts vorliegend ausgeschlossen (vgl. nicht publ. E. 2). Entgegen der Ansicht des Beschwerdeführers liegt keine Nichtigkeit des angefochtenen Entscheids vor. Der Einsatz der genannten Ersatzoberrichterin bzw. Ersatzoberrichters im vorinstanzlichen Spruchkörper ist zwar mit Art. 30 Abs. 1 BV und Art. 6 Ziff. 1 EMRK unvereinbar; es handelt sich bei ihnen indessen nichtsdestotrotz um gewählte und damit demokratisch legitimierte Gerichtspersonen.</w:t>
      </w:r>
    </w:p>
    <w:p>
      <w:r>
        <w:rPr>
          <w:b/>
        </w:rPr>
        <w:t>E. 5.5</w:t>
      </w:r>
    </w:p>
    <w:p>
      <w:r>
        <w:t>Auf die weiteren Rügen des Beschwerdeführers braucht infolge Gutheissung der Beschwerde nicht eingegangen zu werden. Da der BGE 149 I 14 S. 24 besondere Haftgrund der Kollusionsgefahr nicht offensichtlich nicht gegeben ist, steht eine sofortige Haftfreilassung hingegen ausser Frage und ist die Beschwerde insoweit abzuweisen (vgl. nicht publ. E. 4.1). Insbesondere die Frage nach dem Vorliegen von Kollusionsgefahr wird von der Vorinstanz in angepasster, verfassungs- und konventionskonformer Besetzung erneut zu prüfen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